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B0" w:rsidRDefault="00BE7AB0">
      <w:pPr>
        <w:widowControl w:val="0"/>
        <w:autoSpaceDE w:val="0"/>
        <w:autoSpaceDN w:val="0"/>
        <w:adjustRightInd w:val="0"/>
        <w:spacing w:after="0" w:line="240" w:lineRule="auto"/>
        <w:rPr>
          <w:rFonts w:ascii="Times New Roman" w:hAnsi="Times New Roman"/>
          <w:sz w:val="24"/>
          <w:szCs w:val="24"/>
        </w:rPr>
        <w:sectPr w:rsidR="00BE7AB0">
          <w:headerReference w:type="default" r:id="rId6"/>
          <w:footerReference w:type="default" r:id="rId7"/>
          <w:pgSz w:w="12240" w:h="15840"/>
          <w:pgMar w:top="2520" w:right="1440" w:bottom="1800" w:left="1440" w:header="720" w:footer="720" w:gutter="0"/>
          <w:pgNumType w:start="1"/>
          <w:cols w:space="720"/>
          <w:noEndnote/>
        </w:sectPr>
      </w:pP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bookmarkStart w:id="0" w:name="Document0zzSDUNumber1"/>
      <w:bookmarkEnd w:id="0"/>
      <w:r>
        <w:rPr>
          <w:rFonts w:ascii="Times New Roman" w:hAnsi="Times New Roman"/>
          <w:color w:val="000000"/>
          <w:sz w:val="20"/>
          <w:szCs w:val="20"/>
        </w:rPr>
        <w:lastRenderedPageBreak/>
        <w:t>Supreme Court of Florida.</w:t>
      </w:r>
    </w:p>
    <w:p w:rsidR="00E54FE0" w:rsidRDefault="00E54FE0">
      <w:pPr>
        <w:widowControl w:val="0"/>
        <w:autoSpaceDE w:val="0"/>
        <w:autoSpaceDN w:val="0"/>
        <w:adjustRightInd w:val="0"/>
        <w:spacing w:after="0" w:line="240" w:lineRule="auto"/>
        <w:jc w:val="center"/>
        <w:rPr>
          <w:rFonts w:ascii="Times New Roman" w:hAnsi="Times New Roman"/>
          <w:color w:val="000000"/>
          <w:sz w:val="20"/>
          <w:szCs w:val="20"/>
        </w:rPr>
      </w:pP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Betty Joyce SPIVEY and Dallas H. Spivey, her hu</w:t>
      </w:r>
      <w:r>
        <w:rPr>
          <w:rFonts w:ascii="Times New Roman" w:hAnsi="Times New Roman"/>
          <w:color w:val="000000"/>
          <w:sz w:val="20"/>
          <w:szCs w:val="20"/>
        </w:rPr>
        <w:t>s</w:t>
      </w:r>
      <w:r>
        <w:rPr>
          <w:rFonts w:ascii="Times New Roman" w:hAnsi="Times New Roman"/>
          <w:color w:val="000000"/>
          <w:sz w:val="20"/>
          <w:szCs w:val="20"/>
        </w:rPr>
        <w:t>band, Petitioners,</w:t>
      </w: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v.</w:t>
      </w: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Phillip BATTAGLIA, Respondent.</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 40696.</w:t>
      </w:r>
    </w:p>
    <w:p w:rsidR="0016655D" w:rsidRDefault="0016655D">
      <w:pPr>
        <w:widowControl w:val="0"/>
        <w:autoSpaceDE w:val="0"/>
        <w:autoSpaceDN w:val="0"/>
        <w:adjustRightInd w:val="0"/>
        <w:spacing w:after="0" w:line="240" w:lineRule="auto"/>
        <w:jc w:val="center"/>
        <w:rPr>
          <w:rFonts w:ascii="Times New Roman" w:hAnsi="Times New Roman"/>
          <w:color w:val="000000"/>
          <w:sz w:val="24"/>
          <w:szCs w:val="24"/>
        </w:rPr>
      </w:pP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Jan. 26, 1972.</w:t>
      </w:r>
    </w:p>
    <w:p w:rsidR="00BE7AB0" w:rsidRDefault="003B44B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Rehearing Denied March 29, 1972.</w:t>
      </w:r>
    </w:p>
    <w:p w:rsidR="00BE7AB0" w:rsidRPr="00E54FE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Pr="00E54FE0" w:rsidRDefault="00E54FE0" w:rsidP="00C96CCF">
      <w:pPr>
        <w:widowControl w:val="0"/>
        <w:autoSpaceDE w:val="0"/>
        <w:autoSpaceDN w:val="0"/>
        <w:adjustRightInd w:val="0"/>
        <w:spacing w:after="0" w:line="240" w:lineRule="auto"/>
        <w:ind w:firstLine="360"/>
        <w:jc w:val="both"/>
        <w:rPr>
          <w:rFonts w:ascii="Times New Roman" w:hAnsi="Times New Roman"/>
          <w:color w:val="000000"/>
          <w:sz w:val="24"/>
          <w:szCs w:val="24"/>
        </w:rPr>
      </w:pPr>
      <w:r w:rsidRPr="00E54FE0">
        <w:rPr>
          <w:rFonts w:ascii="Times New Roman" w:hAnsi="Times New Roman"/>
          <w:color w:val="000000"/>
          <w:sz w:val="24"/>
          <w:szCs w:val="20"/>
        </w:rPr>
        <w:t>. . . .</w:t>
      </w:r>
    </w:p>
    <w:p w:rsidR="00BE7AB0" w:rsidRPr="00E54FE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DEKLE, Justice.</w:t>
      </w:r>
    </w:p>
    <w:p w:rsidR="00E54FE0" w:rsidRDefault="00E54FE0" w:rsidP="00C96CCF">
      <w:pPr>
        <w:widowControl w:val="0"/>
        <w:autoSpaceDE w:val="0"/>
        <w:autoSpaceDN w:val="0"/>
        <w:adjustRightInd w:val="0"/>
        <w:spacing w:after="0" w:line="240" w:lineRule="auto"/>
        <w:ind w:firstLine="360"/>
        <w:jc w:val="both"/>
        <w:rPr>
          <w:rFonts w:ascii="Times New Roman" w:hAnsi="Times New Roman"/>
          <w:color w:val="000000"/>
          <w:sz w:val="24"/>
          <w:szCs w:val="24"/>
        </w:rPr>
      </w:pPr>
      <w:bookmarkStart w:id="1" w:name="_GoBack"/>
      <w:bookmarkEnd w:id="1"/>
      <w:r>
        <w:rPr>
          <w:rFonts w:ascii="Times New Roman" w:hAnsi="Times New Roman"/>
          <w:color w:val="000000"/>
          <w:sz w:val="24"/>
          <w:szCs w:val="24"/>
        </w:rPr>
        <w:t>. . . .</w:t>
      </w:r>
    </w:p>
    <w:p w:rsidR="00E54FE0" w:rsidRDefault="00E54FE0" w:rsidP="00E54FE0">
      <w:pPr>
        <w:widowControl w:val="0"/>
        <w:autoSpaceDE w:val="0"/>
        <w:autoSpaceDN w:val="0"/>
        <w:adjustRightInd w:val="0"/>
        <w:spacing w:after="0" w:line="240" w:lineRule="auto"/>
        <w:jc w:val="both"/>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Petitioner (plaintiff in the trial court) and respo</w:t>
      </w:r>
      <w:r>
        <w:rPr>
          <w:rFonts w:ascii="Times New Roman" w:hAnsi="Times New Roman"/>
          <w:color w:val="000000"/>
          <w:sz w:val="20"/>
          <w:szCs w:val="20"/>
        </w:rPr>
        <w:t>n</w:t>
      </w:r>
      <w:r>
        <w:rPr>
          <w:rFonts w:ascii="Times New Roman" w:hAnsi="Times New Roman"/>
          <w:color w:val="000000"/>
          <w:sz w:val="20"/>
          <w:szCs w:val="20"/>
        </w:rPr>
        <w:t>dent (defendant) were employees of Battaglia Fruit Co. on January 21, 1965. During the lunch hour se</w:t>
      </w:r>
      <w:r>
        <w:rPr>
          <w:rFonts w:ascii="Times New Roman" w:hAnsi="Times New Roman"/>
          <w:color w:val="000000"/>
          <w:sz w:val="20"/>
          <w:szCs w:val="20"/>
        </w:rPr>
        <w:t>v</w:t>
      </w:r>
      <w:r>
        <w:rPr>
          <w:rFonts w:ascii="Times New Roman" w:hAnsi="Times New Roman"/>
          <w:color w:val="000000"/>
          <w:sz w:val="20"/>
          <w:szCs w:val="20"/>
        </w:rPr>
        <w:t>eral employees of Battaglia Fruit Co., including pet</w:t>
      </w:r>
      <w:r>
        <w:rPr>
          <w:rFonts w:ascii="Times New Roman" w:hAnsi="Times New Roman"/>
          <w:color w:val="000000"/>
          <w:sz w:val="20"/>
          <w:szCs w:val="20"/>
        </w:rPr>
        <w:t>i</w:t>
      </w:r>
      <w:r>
        <w:rPr>
          <w:rFonts w:ascii="Times New Roman" w:hAnsi="Times New Roman"/>
          <w:color w:val="000000"/>
          <w:sz w:val="20"/>
          <w:szCs w:val="20"/>
        </w:rPr>
        <w:t>tioner and respondent, were seated on a work table in the plant of the company. Respondent, in an effort to tease petitioner, whom he knew to be shy, intentio</w:t>
      </w:r>
      <w:r>
        <w:rPr>
          <w:rFonts w:ascii="Times New Roman" w:hAnsi="Times New Roman"/>
          <w:color w:val="000000"/>
          <w:sz w:val="20"/>
          <w:szCs w:val="20"/>
        </w:rPr>
        <w:t>n</w:t>
      </w:r>
      <w:r>
        <w:rPr>
          <w:rFonts w:ascii="Times New Roman" w:hAnsi="Times New Roman"/>
          <w:color w:val="000000"/>
          <w:sz w:val="20"/>
          <w:szCs w:val="20"/>
        </w:rPr>
        <w:t xml:space="preserve">ally put his arm around petitioner and pulled her head toward him. Immediately after this </w:t>
      </w:r>
      <w:r w:rsidR="0016655D">
        <w:rPr>
          <w:rFonts w:ascii="Times New Roman" w:hAnsi="Times New Roman"/>
          <w:color w:val="000000"/>
          <w:sz w:val="20"/>
          <w:szCs w:val="20"/>
        </w:rPr>
        <w:t>“</w:t>
      </w:r>
      <w:r>
        <w:rPr>
          <w:rFonts w:ascii="Times New Roman" w:hAnsi="Times New Roman"/>
          <w:color w:val="000000"/>
          <w:sz w:val="20"/>
          <w:szCs w:val="20"/>
        </w:rPr>
        <w:t>friendly unsol</w:t>
      </w:r>
      <w:r>
        <w:rPr>
          <w:rFonts w:ascii="Times New Roman" w:hAnsi="Times New Roman"/>
          <w:color w:val="000000"/>
          <w:sz w:val="20"/>
          <w:szCs w:val="20"/>
        </w:rPr>
        <w:t>i</w:t>
      </w:r>
      <w:r>
        <w:rPr>
          <w:rFonts w:ascii="Times New Roman" w:hAnsi="Times New Roman"/>
          <w:color w:val="000000"/>
          <w:sz w:val="20"/>
          <w:szCs w:val="20"/>
        </w:rPr>
        <w:t>cited hug,</w:t>
      </w:r>
      <w:r w:rsidR="0016655D">
        <w:rPr>
          <w:rFonts w:ascii="Times New Roman" w:hAnsi="Times New Roman"/>
          <w:color w:val="000000"/>
          <w:sz w:val="20"/>
          <w:szCs w:val="20"/>
        </w:rPr>
        <w:t>”</w:t>
      </w:r>
      <w:r>
        <w:rPr>
          <w:rFonts w:ascii="Times New Roman" w:hAnsi="Times New Roman"/>
          <w:color w:val="000000"/>
          <w:sz w:val="20"/>
          <w:szCs w:val="20"/>
        </w:rPr>
        <w:t xml:space="preserve"> petitioner suffered a sharp pain in the back of her neck and ear, and sharp pains into the base of her skull. As a result, petitioner was par</w:t>
      </w:r>
      <w:r>
        <w:rPr>
          <w:rFonts w:ascii="Times New Roman" w:hAnsi="Times New Roman"/>
          <w:color w:val="000000"/>
          <w:sz w:val="20"/>
          <w:szCs w:val="20"/>
        </w:rPr>
        <w:t>a</w:t>
      </w:r>
      <w:r>
        <w:rPr>
          <w:rFonts w:ascii="Times New Roman" w:hAnsi="Times New Roman"/>
          <w:color w:val="000000"/>
          <w:sz w:val="20"/>
          <w:szCs w:val="20"/>
        </w:rPr>
        <w:t>lyzed on the left side of her face and mouth.</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An action was commenced in the Circuit Court of Orange County, Florida, wherein the petitioners, Mr. and Mrs. Spivey, brought suit against respondent for, (1) negligence, and (2) assault and battery. Re</w:t>
      </w:r>
      <w:r>
        <w:rPr>
          <w:rFonts w:ascii="Times New Roman" w:hAnsi="Times New Roman"/>
          <w:color w:val="000000"/>
          <w:sz w:val="20"/>
          <w:szCs w:val="20"/>
        </w:rPr>
        <w:t>s</w:t>
      </w:r>
      <w:r>
        <w:rPr>
          <w:rFonts w:ascii="Times New Roman" w:hAnsi="Times New Roman"/>
          <w:color w:val="000000"/>
          <w:sz w:val="20"/>
          <w:szCs w:val="20"/>
        </w:rPr>
        <w:t xml:space="preserve">pondent, Mr. Battaglia, filed his answer raising as a defense the claim that his </w:t>
      </w:r>
      <w:r w:rsidR="0016655D">
        <w:rPr>
          <w:rFonts w:ascii="Times New Roman" w:hAnsi="Times New Roman"/>
          <w:color w:val="000000"/>
          <w:sz w:val="20"/>
          <w:szCs w:val="20"/>
        </w:rPr>
        <w:t>“</w:t>
      </w:r>
      <w:r>
        <w:rPr>
          <w:rFonts w:ascii="Times New Roman" w:hAnsi="Times New Roman"/>
          <w:color w:val="000000"/>
          <w:sz w:val="20"/>
          <w:szCs w:val="20"/>
        </w:rPr>
        <w:t>friendly unsolicited hug</w:t>
      </w:r>
      <w:r w:rsidR="0016655D">
        <w:rPr>
          <w:rFonts w:ascii="Times New Roman" w:hAnsi="Times New Roman"/>
          <w:color w:val="000000"/>
          <w:sz w:val="20"/>
          <w:szCs w:val="20"/>
        </w:rPr>
        <w:t>”</w:t>
      </w:r>
      <w:r>
        <w:rPr>
          <w:rFonts w:ascii="Times New Roman" w:hAnsi="Times New Roman"/>
          <w:color w:val="000000"/>
          <w:sz w:val="20"/>
          <w:szCs w:val="20"/>
        </w:rPr>
        <w:t xml:space="preserve"> was an assault and battery as a matter of law and was barred by the running of the two-year statute of lim</w:t>
      </w:r>
      <w:r>
        <w:rPr>
          <w:rFonts w:ascii="Times New Roman" w:hAnsi="Times New Roman"/>
          <w:color w:val="000000"/>
          <w:sz w:val="20"/>
          <w:szCs w:val="20"/>
        </w:rPr>
        <w:t>i</w:t>
      </w:r>
      <w:r>
        <w:rPr>
          <w:rFonts w:ascii="Times New Roman" w:hAnsi="Times New Roman"/>
          <w:color w:val="000000"/>
          <w:sz w:val="20"/>
          <w:szCs w:val="20"/>
        </w:rPr>
        <w:t>tations on assault and battery. Respondent</w:t>
      </w:r>
      <w:r w:rsidR="0016655D">
        <w:rPr>
          <w:rFonts w:ascii="Times New Roman" w:hAnsi="Times New Roman"/>
          <w:color w:val="000000"/>
          <w:sz w:val="20"/>
          <w:szCs w:val="20"/>
        </w:rPr>
        <w:t>’</w:t>
      </w:r>
      <w:r>
        <w:rPr>
          <w:rFonts w:ascii="Times New Roman" w:hAnsi="Times New Roman"/>
          <w:color w:val="000000"/>
          <w:sz w:val="20"/>
          <w:szCs w:val="20"/>
        </w:rPr>
        <w:t>s motion for summary judgment was granted by the trial court on this basis. The district court affirmed on the a</w:t>
      </w:r>
      <w:r>
        <w:rPr>
          <w:rFonts w:ascii="Times New Roman" w:hAnsi="Times New Roman"/>
          <w:color w:val="000000"/>
          <w:sz w:val="20"/>
          <w:szCs w:val="20"/>
        </w:rPr>
        <w:t>u</w:t>
      </w:r>
      <w:r>
        <w:rPr>
          <w:rFonts w:ascii="Times New Roman" w:hAnsi="Times New Roman"/>
          <w:color w:val="000000"/>
          <w:sz w:val="20"/>
          <w:szCs w:val="20"/>
        </w:rPr>
        <w:t xml:space="preserve">thority of </w:t>
      </w:r>
      <w:r w:rsidRPr="00E54FE0">
        <w:rPr>
          <w:rFonts w:ascii="Times New Roman" w:hAnsi="Times New Roman"/>
          <w:i/>
          <w:color w:val="000000"/>
          <w:sz w:val="20"/>
          <w:szCs w:val="20"/>
        </w:rPr>
        <w:t>McDonald v. Ford</w:t>
      </w:r>
      <w:r>
        <w:rPr>
          <w:rFonts w:ascii="Times New Roman" w:hAnsi="Times New Roman"/>
          <w:color w:val="000000"/>
          <w:sz w:val="20"/>
          <w:szCs w:val="20"/>
        </w:rPr>
        <w:t xml:space="preserve">, </w:t>
      </w:r>
      <w:r w:rsidR="00E54FE0">
        <w:rPr>
          <w:rFonts w:ascii="Times New Roman" w:hAnsi="Times New Roman"/>
          <w:color w:val="000000"/>
          <w:sz w:val="20"/>
          <w:szCs w:val="20"/>
        </w:rPr>
        <w:t>[223 So. 2d 553 (Fla. Dist. Ct. App. 1969)]</w:t>
      </w:r>
      <w:r>
        <w:rPr>
          <w:rFonts w:ascii="Times New Roman" w:hAnsi="Times New Roman"/>
          <w:color w:val="000000"/>
          <w:sz w:val="20"/>
          <w:szCs w:val="20"/>
        </w:rPr>
        <w:t>.</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question presented for our determination is whether petitioner</w:t>
      </w:r>
      <w:r w:rsidR="0016655D">
        <w:rPr>
          <w:rFonts w:ascii="Times New Roman" w:hAnsi="Times New Roman"/>
          <w:color w:val="000000"/>
          <w:sz w:val="20"/>
          <w:szCs w:val="20"/>
        </w:rPr>
        <w:t>’</w:t>
      </w:r>
      <w:r>
        <w:rPr>
          <w:rFonts w:ascii="Times New Roman" w:hAnsi="Times New Roman"/>
          <w:color w:val="000000"/>
          <w:sz w:val="20"/>
          <w:szCs w:val="20"/>
        </w:rPr>
        <w:t xml:space="preserve">s action could be maintained on </w:t>
      </w:r>
      <w:r>
        <w:rPr>
          <w:rFonts w:ascii="Times New Roman" w:hAnsi="Times New Roman"/>
          <w:color w:val="000000"/>
          <w:sz w:val="20"/>
          <w:szCs w:val="20"/>
        </w:rPr>
        <w:lastRenderedPageBreak/>
        <w:t>the negligence count, or whether respondent</w:t>
      </w:r>
      <w:r w:rsidR="0016655D">
        <w:rPr>
          <w:rFonts w:ascii="Times New Roman" w:hAnsi="Times New Roman"/>
          <w:color w:val="000000"/>
          <w:sz w:val="20"/>
          <w:szCs w:val="20"/>
        </w:rPr>
        <w:t>’</w:t>
      </w:r>
      <w:r>
        <w:rPr>
          <w:rFonts w:ascii="Times New Roman" w:hAnsi="Times New Roman"/>
          <w:color w:val="000000"/>
          <w:sz w:val="20"/>
          <w:szCs w:val="20"/>
        </w:rPr>
        <w:t>s co</w:t>
      </w:r>
      <w:r>
        <w:rPr>
          <w:rFonts w:ascii="Times New Roman" w:hAnsi="Times New Roman"/>
          <w:color w:val="000000"/>
          <w:sz w:val="20"/>
          <w:szCs w:val="20"/>
        </w:rPr>
        <w:t>n</w:t>
      </w:r>
      <w:r>
        <w:rPr>
          <w:rFonts w:ascii="Times New Roman" w:hAnsi="Times New Roman"/>
          <w:color w:val="000000"/>
          <w:sz w:val="20"/>
          <w:szCs w:val="20"/>
        </w:rPr>
        <w:t>duct amounted to an assault and battery as a matter of law, which would bar the suit under the two-year statute (which had run).</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In </w:t>
      </w:r>
      <w:r w:rsidRPr="00E54FE0">
        <w:rPr>
          <w:rFonts w:ascii="Times New Roman" w:hAnsi="Times New Roman"/>
          <w:i/>
          <w:color w:val="000000"/>
          <w:sz w:val="20"/>
          <w:szCs w:val="20"/>
        </w:rPr>
        <w:t>McDonald</w:t>
      </w:r>
      <w:r>
        <w:rPr>
          <w:rFonts w:ascii="Times New Roman" w:hAnsi="Times New Roman"/>
          <w:color w:val="000000"/>
          <w:sz w:val="20"/>
          <w:szCs w:val="20"/>
        </w:rPr>
        <w:t xml:space="preserve"> the incident complained of o</w:t>
      </w:r>
      <w:r>
        <w:rPr>
          <w:rFonts w:ascii="Times New Roman" w:hAnsi="Times New Roman"/>
          <w:color w:val="000000"/>
          <w:sz w:val="20"/>
          <w:szCs w:val="20"/>
        </w:rPr>
        <w:t>c</w:t>
      </w:r>
      <w:r>
        <w:rPr>
          <w:rFonts w:ascii="Times New Roman" w:hAnsi="Times New Roman"/>
          <w:color w:val="000000"/>
          <w:sz w:val="20"/>
          <w:szCs w:val="20"/>
        </w:rPr>
        <w:t>curred in the early morning hours in a home owned by the defendant. While the plaintiff was looking through some records, the defendant came up behind her, laughingly embraced her and, though she r</w:t>
      </w:r>
      <w:r>
        <w:rPr>
          <w:rFonts w:ascii="Times New Roman" w:hAnsi="Times New Roman"/>
          <w:color w:val="000000"/>
          <w:sz w:val="20"/>
          <w:szCs w:val="20"/>
        </w:rPr>
        <w:t>e</w:t>
      </w:r>
      <w:r>
        <w:rPr>
          <w:rFonts w:ascii="Times New Roman" w:hAnsi="Times New Roman"/>
          <w:color w:val="000000"/>
          <w:sz w:val="20"/>
          <w:szCs w:val="20"/>
        </w:rPr>
        <w:t xml:space="preserve">sisted, kissed her hard. As the defendant was hurting the plaintiff </w:t>
      </w:r>
      <w:r w:rsidR="00E54FE0">
        <w:rPr>
          <w:rFonts w:ascii="Times New Roman" w:hAnsi="Times New Roman"/>
          <w:color w:val="000000"/>
          <w:sz w:val="20"/>
          <w:szCs w:val="20"/>
        </w:rPr>
        <w:t xml:space="preserve">physically by </w:t>
      </w:r>
      <w:r>
        <w:rPr>
          <w:rFonts w:ascii="Times New Roman" w:hAnsi="Times New Roman"/>
          <w:color w:val="000000"/>
          <w:sz w:val="20"/>
          <w:szCs w:val="20"/>
        </w:rPr>
        <w:t>his embrace, the plaintiff continued to struggle violently and the defendant continued to laugh and pursue his love-making a</w:t>
      </w:r>
      <w:r>
        <w:rPr>
          <w:rFonts w:ascii="Times New Roman" w:hAnsi="Times New Roman"/>
          <w:color w:val="000000"/>
          <w:sz w:val="20"/>
          <w:szCs w:val="20"/>
        </w:rPr>
        <w:t>t</w:t>
      </w:r>
      <w:r>
        <w:rPr>
          <w:rFonts w:ascii="Times New Roman" w:hAnsi="Times New Roman"/>
          <w:color w:val="000000"/>
          <w:sz w:val="20"/>
          <w:szCs w:val="20"/>
        </w:rPr>
        <w:t>tempts. In the process, plaintiff struck her face hard upon an object that she was unable to identify speci</w:t>
      </w:r>
      <w:r>
        <w:rPr>
          <w:rFonts w:ascii="Times New Roman" w:hAnsi="Times New Roman"/>
          <w:color w:val="000000"/>
          <w:sz w:val="20"/>
          <w:szCs w:val="20"/>
        </w:rPr>
        <w:t>f</w:t>
      </w:r>
      <w:r>
        <w:rPr>
          <w:rFonts w:ascii="Times New Roman" w:hAnsi="Times New Roman"/>
          <w:color w:val="000000"/>
          <w:sz w:val="20"/>
          <w:szCs w:val="20"/>
        </w:rPr>
        <w:t>ically. With those facts before it, the district court held that what actually occurred was an assault and battery, and not negligence. The court quoted with ap</w:t>
      </w:r>
      <w:r w:rsidRPr="0016655D">
        <w:rPr>
          <w:rFonts w:ascii="Times New Roman" w:hAnsi="Times New Roman"/>
          <w:sz w:val="20"/>
          <w:szCs w:val="20"/>
        </w:rPr>
        <w:t xml:space="preserve">proval from the Court of Appeals of Ohio in </w:t>
      </w:r>
      <w:r w:rsidRPr="0016655D">
        <w:rPr>
          <w:rFonts w:ascii="Times New Roman" w:hAnsi="Times New Roman"/>
          <w:i/>
          <w:sz w:val="20"/>
          <w:szCs w:val="20"/>
        </w:rPr>
        <w:t>Wi</w:t>
      </w:r>
      <w:r w:rsidRPr="0016655D">
        <w:rPr>
          <w:rFonts w:ascii="Times New Roman" w:hAnsi="Times New Roman"/>
          <w:i/>
          <w:sz w:val="20"/>
          <w:szCs w:val="20"/>
        </w:rPr>
        <w:t>l</w:t>
      </w:r>
      <w:r w:rsidRPr="0016655D">
        <w:rPr>
          <w:rFonts w:ascii="Times New Roman" w:hAnsi="Times New Roman"/>
          <w:i/>
          <w:sz w:val="20"/>
          <w:szCs w:val="20"/>
        </w:rPr>
        <w:t>liams v. Pressman</w:t>
      </w:r>
      <w:r w:rsidRPr="0016655D">
        <w:rPr>
          <w:rFonts w:ascii="Times New Roman" w:hAnsi="Times New Roman"/>
          <w:sz w:val="20"/>
          <w:szCs w:val="20"/>
        </w:rPr>
        <w:t>, 113 N.E.2d 395, at 396 (Ohio App.1953):</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Pr="00E54FE0" w:rsidRDefault="00E54FE0" w:rsidP="00E54FE0">
      <w:pPr>
        <w:widowControl w:val="0"/>
        <w:autoSpaceDE w:val="0"/>
        <w:autoSpaceDN w:val="0"/>
        <w:adjustRightInd w:val="0"/>
        <w:spacing w:after="0" w:line="240" w:lineRule="auto"/>
        <w:ind w:firstLine="360"/>
        <w:jc w:val="both"/>
        <w:rPr>
          <w:rFonts w:ascii="Times New Roman" w:hAnsi="Times New Roman"/>
          <w:color w:val="000000"/>
          <w:sz w:val="20"/>
          <w:szCs w:val="20"/>
        </w:rPr>
      </w:pPr>
      <w:r>
        <w:rPr>
          <w:rFonts w:ascii="Times New Roman" w:hAnsi="Times New Roman"/>
          <w:color w:val="000000"/>
          <w:sz w:val="20"/>
          <w:szCs w:val="20"/>
        </w:rPr>
        <w:t>“</w:t>
      </w:r>
      <w:r w:rsidR="003B44BF">
        <w:rPr>
          <w:rFonts w:ascii="Times New Roman" w:hAnsi="Times New Roman"/>
          <w:color w:val="000000"/>
          <w:sz w:val="20"/>
          <w:szCs w:val="20"/>
        </w:rPr>
        <w:t>. . . an assault and battery is not negligence, for such action is intentional, while negligence connotes an unintentional act.</w:t>
      </w:r>
      <w:r>
        <w:rPr>
          <w:rFonts w:ascii="Times New Roman" w:hAnsi="Times New Roman"/>
          <w:color w:val="000000"/>
          <w:sz w:val="20"/>
          <w:szCs w:val="20"/>
        </w:rPr>
        <w:t>”</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intent with which such a tort liability as a</w:t>
      </w:r>
      <w:r>
        <w:rPr>
          <w:rFonts w:ascii="Times New Roman" w:hAnsi="Times New Roman"/>
          <w:color w:val="000000"/>
          <w:sz w:val="20"/>
          <w:szCs w:val="20"/>
        </w:rPr>
        <w:t>s</w:t>
      </w:r>
      <w:r>
        <w:rPr>
          <w:rFonts w:ascii="Times New Roman" w:hAnsi="Times New Roman"/>
          <w:color w:val="000000"/>
          <w:sz w:val="20"/>
          <w:szCs w:val="20"/>
        </w:rPr>
        <w:t xml:space="preserve">sault is concerned is not necessarily a hostile intent, or a desire to do harm. Where a reasonable man would believe that a particular result was </w:t>
      </w:r>
      <w:r w:rsidR="0016655D" w:rsidRPr="0016655D">
        <w:rPr>
          <w:rFonts w:ascii="Times New Roman" w:hAnsi="Times New Roman"/>
          <w:i/>
          <w:color w:val="000000"/>
          <w:sz w:val="20"/>
          <w:szCs w:val="20"/>
        </w:rPr>
        <w:t>s</w:t>
      </w:r>
      <w:r w:rsidRPr="0016655D">
        <w:rPr>
          <w:rFonts w:ascii="Times New Roman" w:hAnsi="Times New Roman"/>
          <w:i/>
          <w:color w:val="000000"/>
          <w:sz w:val="20"/>
          <w:szCs w:val="20"/>
        </w:rPr>
        <w:t>ubstantia</w:t>
      </w:r>
      <w:r w:rsidRPr="0016655D">
        <w:rPr>
          <w:rFonts w:ascii="Times New Roman" w:hAnsi="Times New Roman"/>
          <w:i/>
          <w:color w:val="000000"/>
          <w:sz w:val="20"/>
          <w:szCs w:val="20"/>
        </w:rPr>
        <w:t>l</w:t>
      </w:r>
      <w:r w:rsidRPr="0016655D">
        <w:rPr>
          <w:rFonts w:ascii="Times New Roman" w:hAnsi="Times New Roman"/>
          <w:i/>
          <w:color w:val="000000"/>
          <w:sz w:val="20"/>
          <w:szCs w:val="20"/>
        </w:rPr>
        <w:t>ly certain</w:t>
      </w:r>
      <w:r>
        <w:rPr>
          <w:rFonts w:ascii="Times New Roman" w:hAnsi="Times New Roman"/>
          <w:color w:val="000000"/>
          <w:sz w:val="20"/>
          <w:szCs w:val="20"/>
        </w:rPr>
        <w:t xml:space="preserve"> to follow, he will be held in the eyes of the law as though he had intended it.</w:t>
      </w:r>
      <w:r w:rsidR="00E54FE0">
        <w:rPr>
          <w:rFonts w:ascii="Times New Roman" w:hAnsi="Times New Roman"/>
          <w:color w:val="000000"/>
          <w:sz w:val="24"/>
          <w:szCs w:val="24"/>
        </w:rPr>
        <w:t xml:space="preserve"> </w:t>
      </w:r>
      <w:r>
        <w:rPr>
          <w:rFonts w:ascii="Times New Roman" w:hAnsi="Times New Roman"/>
          <w:color w:val="000000"/>
          <w:sz w:val="20"/>
          <w:szCs w:val="20"/>
        </w:rPr>
        <w:t xml:space="preserve">It would thus be an assault (intentional). However, the knowledge and appreciation of a </w:t>
      </w:r>
      <w:r w:rsidR="0016655D" w:rsidRPr="0016655D">
        <w:rPr>
          <w:rFonts w:ascii="Times New Roman" w:hAnsi="Times New Roman"/>
          <w:i/>
          <w:color w:val="000000"/>
          <w:sz w:val="20"/>
          <w:szCs w:val="20"/>
        </w:rPr>
        <w:t>r</w:t>
      </w:r>
      <w:r w:rsidRPr="0016655D">
        <w:rPr>
          <w:rFonts w:ascii="Times New Roman" w:hAnsi="Times New Roman"/>
          <w:i/>
          <w:color w:val="000000"/>
          <w:sz w:val="20"/>
          <w:szCs w:val="20"/>
        </w:rPr>
        <w:t>isk</w:t>
      </w:r>
      <w:r>
        <w:rPr>
          <w:rFonts w:ascii="Times New Roman" w:hAnsi="Times New Roman"/>
          <w:color w:val="000000"/>
          <w:sz w:val="20"/>
          <w:szCs w:val="20"/>
        </w:rPr>
        <w:t>, short of substantial certainty, is not the equivalent of intent. Thus, the distinction b</w:t>
      </w:r>
      <w:r>
        <w:rPr>
          <w:rFonts w:ascii="Times New Roman" w:hAnsi="Times New Roman"/>
          <w:color w:val="000000"/>
          <w:sz w:val="20"/>
          <w:szCs w:val="20"/>
        </w:rPr>
        <w:t>e</w:t>
      </w:r>
      <w:r>
        <w:rPr>
          <w:rFonts w:ascii="Times New Roman" w:hAnsi="Times New Roman"/>
          <w:color w:val="000000"/>
          <w:sz w:val="20"/>
          <w:szCs w:val="20"/>
        </w:rPr>
        <w:t xml:space="preserve">tween intent and negligence boils down to a matter of degree. </w:t>
      </w:r>
      <w:r w:rsidR="0016655D">
        <w:rPr>
          <w:rFonts w:ascii="Times New Roman" w:hAnsi="Times New Roman"/>
          <w:color w:val="000000"/>
          <w:sz w:val="20"/>
          <w:szCs w:val="20"/>
        </w:rPr>
        <w:t>“</w:t>
      </w:r>
      <w:r>
        <w:rPr>
          <w:rFonts w:ascii="Times New Roman" w:hAnsi="Times New Roman"/>
          <w:color w:val="000000"/>
          <w:sz w:val="20"/>
          <w:szCs w:val="20"/>
        </w:rPr>
        <w:t>Apparently the line has been drawn by the courts at the point where the known danger ceases to be only a foreseeable risk which a reasonable man would avoid (negligence), and becomes a substantial certainty.</w:t>
      </w:r>
      <w:r w:rsidR="0016655D">
        <w:rPr>
          <w:rFonts w:ascii="Times New Roman" w:hAnsi="Times New Roman"/>
          <w:color w:val="000000"/>
          <w:sz w:val="20"/>
          <w:szCs w:val="20"/>
        </w:rPr>
        <w:t>”</w:t>
      </w:r>
      <w:r>
        <w:rPr>
          <w:rFonts w:ascii="Times New Roman" w:hAnsi="Times New Roman"/>
          <w:color w:val="000000"/>
          <w:sz w:val="20"/>
          <w:szCs w:val="20"/>
        </w:rPr>
        <w:t xml:space="preserve"> In the latter case, the intent is legally i</w:t>
      </w:r>
      <w:r>
        <w:rPr>
          <w:rFonts w:ascii="Times New Roman" w:hAnsi="Times New Roman"/>
          <w:color w:val="000000"/>
          <w:sz w:val="20"/>
          <w:szCs w:val="20"/>
        </w:rPr>
        <w:t>m</w:t>
      </w:r>
      <w:r>
        <w:rPr>
          <w:rFonts w:ascii="Times New Roman" w:hAnsi="Times New Roman"/>
          <w:color w:val="000000"/>
          <w:sz w:val="20"/>
          <w:szCs w:val="20"/>
        </w:rPr>
        <w:t>plied and becomes an assault rather than unintentio</w:t>
      </w:r>
      <w:r>
        <w:rPr>
          <w:rFonts w:ascii="Times New Roman" w:hAnsi="Times New Roman"/>
          <w:color w:val="000000"/>
          <w:sz w:val="20"/>
          <w:szCs w:val="20"/>
        </w:rPr>
        <w:t>n</w:t>
      </w:r>
      <w:r>
        <w:rPr>
          <w:rFonts w:ascii="Times New Roman" w:hAnsi="Times New Roman"/>
          <w:color w:val="000000"/>
          <w:sz w:val="20"/>
          <w:szCs w:val="20"/>
        </w:rPr>
        <w:t>al negligence.</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distinction between the unsolicited kisses in </w:t>
      </w:r>
      <w:r w:rsidRPr="0016655D">
        <w:rPr>
          <w:rFonts w:ascii="Times New Roman" w:hAnsi="Times New Roman"/>
          <w:i/>
          <w:color w:val="000000"/>
          <w:sz w:val="20"/>
          <w:szCs w:val="20"/>
        </w:rPr>
        <w:t>McDonald</w:t>
      </w:r>
      <w:r>
        <w:rPr>
          <w:rFonts w:ascii="Times New Roman" w:hAnsi="Times New Roman"/>
          <w:color w:val="000000"/>
          <w:sz w:val="20"/>
          <w:szCs w:val="20"/>
        </w:rPr>
        <w:t xml:space="preserve">, </w:t>
      </w:r>
      <w:r w:rsidRPr="0016655D">
        <w:rPr>
          <w:rFonts w:ascii="Times New Roman" w:hAnsi="Times New Roman"/>
          <w:i/>
          <w:color w:val="000000"/>
          <w:sz w:val="20"/>
          <w:szCs w:val="20"/>
        </w:rPr>
        <w:t>supra</w:t>
      </w:r>
      <w:r>
        <w:rPr>
          <w:rFonts w:ascii="Times New Roman" w:hAnsi="Times New Roman"/>
          <w:color w:val="000000"/>
          <w:sz w:val="20"/>
          <w:szCs w:val="20"/>
        </w:rPr>
        <w:t xml:space="preserve">, and the unsolicited hug in the present case turns upon this question of intent. In </w:t>
      </w:r>
      <w:r w:rsidRPr="0016655D">
        <w:rPr>
          <w:rFonts w:ascii="Times New Roman" w:hAnsi="Times New Roman"/>
          <w:i/>
          <w:color w:val="000000"/>
          <w:sz w:val="20"/>
          <w:szCs w:val="20"/>
        </w:rPr>
        <w:lastRenderedPageBreak/>
        <w:t>McDonald</w:t>
      </w:r>
      <w:r>
        <w:rPr>
          <w:rFonts w:ascii="Times New Roman" w:hAnsi="Times New Roman"/>
          <w:color w:val="000000"/>
          <w:sz w:val="20"/>
          <w:szCs w:val="20"/>
        </w:rPr>
        <w:t>, the court, finding an assault and battery, necessarily had to find initially that the results of the defendant</w:t>
      </w:r>
      <w:r w:rsidR="0016655D">
        <w:rPr>
          <w:rFonts w:ascii="Times New Roman" w:hAnsi="Times New Roman"/>
          <w:color w:val="000000"/>
          <w:sz w:val="20"/>
          <w:szCs w:val="20"/>
        </w:rPr>
        <w:t>’</w:t>
      </w:r>
      <w:r>
        <w:rPr>
          <w:rFonts w:ascii="Times New Roman" w:hAnsi="Times New Roman"/>
          <w:color w:val="000000"/>
          <w:sz w:val="20"/>
          <w:szCs w:val="20"/>
        </w:rPr>
        <w:t xml:space="preserve">s acts were </w:t>
      </w:r>
      <w:r w:rsidR="0016655D">
        <w:rPr>
          <w:rFonts w:ascii="Times New Roman" w:hAnsi="Times New Roman"/>
          <w:color w:val="000000"/>
          <w:sz w:val="20"/>
          <w:szCs w:val="20"/>
        </w:rPr>
        <w:t>“</w:t>
      </w:r>
      <w:r>
        <w:rPr>
          <w:rFonts w:ascii="Times New Roman" w:hAnsi="Times New Roman"/>
          <w:color w:val="000000"/>
          <w:sz w:val="20"/>
          <w:szCs w:val="20"/>
        </w:rPr>
        <w:t>intentional.</w:t>
      </w:r>
      <w:r w:rsidR="0016655D">
        <w:rPr>
          <w:rFonts w:ascii="Times New Roman" w:hAnsi="Times New Roman"/>
          <w:color w:val="000000"/>
          <w:sz w:val="20"/>
          <w:szCs w:val="20"/>
        </w:rPr>
        <w:t>”</w:t>
      </w:r>
      <w:r>
        <w:rPr>
          <w:rFonts w:ascii="Times New Roman" w:hAnsi="Times New Roman"/>
          <w:color w:val="000000"/>
          <w:sz w:val="20"/>
          <w:szCs w:val="20"/>
        </w:rPr>
        <w:t xml:space="preserve"> This is a rational conclusion in view of the struggling involved there. In the instant case, the </w:t>
      </w:r>
      <w:r w:rsidR="0016655D">
        <w:rPr>
          <w:rFonts w:ascii="Times New Roman" w:hAnsi="Times New Roman"/>
          <w:color w:val="000000"/>
          <w:sz w:val="20"/>
          <w:szCs w:val="20"/>
        </w:rPr>
        <w:t xml:space="preserve">[District Court of Appeal] </w:t>
      </w:r>
      <w:r>
        <w:rPr>
          <w:rFonts w:ascii="Times New Roman" w:hAnsi="Times New Roman"/>
          <w:color w:val="000000"/>
          <w:sz w:val="20"/>
          <w:szCs w:val="20"/>
        </w:rPr>
        <w:t>must have found the same intent. But we cannot agree with that finding in these circumstances. It ca</w:t>
      </w:r>
      <w:r>
        <w:rPr>
          <w:rFonts w:ascii="Times New Roman" w:hAnsi="Times New Roman"/>
          <w:color w:val="000000"/>
          <w:sz w:val="20"/>
          <w:szCs w:val="20"/>
        </w:rPr>
        <w:t>n</w:t>
      </w:r>
      <w:r>
        <w:rPr>
          <w:rFonts w:ascii="Times New Roman" w:hAnsi="Times New Roman"/>
          <w:color w:val="000000"/>
          <w:sz w:val="20"/>
          <w:szCs w:val="20"/>
        </w:rPr>
        <w:t>not be said that a reasonable man in this defendant</w:t>
      </w:r>
      <w:r w:rsidR="0016655D">
        <w:rPr>
          <w:rFonts w:ascii="Times New Roman" w:hAnsi="Times New Roman"/>
          <w:color w:val="000000"/>
          <w:sz w:val="20"/>
          <w:szCs w:val="20"/>
        </w:rPr>
        <w:t>’</w:t>
      </w:r>
      <w:r>
        <w:rPr>
          <w:rFonts w:ascii="Times New Roman" w:hAnsi="Times New Roman"/>
          <w:color w:val="000000"/>
          <w:sz w:val="20"/>
          <w:szCs w:val="20"/>
        </w:rPr>
        <w:t xml:space="preserve">s position would believe that the bizarre results herein were </w:t>
      </w:r>
      <w:r w:rsidR="0016655D">
        <w:rPr>
          <w:rFonts w:ascii="Times New Roman" w:hAnsi="Times New Roman"/>
          <w:color w:val="000000"/>
          <w:sz w:val="20"/>
          <w:szCs w:val="20"/>
        </w:rPr>
        <w:t>“</w:t>
      </w:r>
      <w:r>
        <w:rPr>
          <w:rFonts w:ascii="Times New Roman" w:hAnsi="Times New Roman"/>
          <w:color w:val="000000"/>
          <w:sz w:val="20"/>
          <w:szCs w:val="20"/>
        </w:rPr>
        <w:t>substantially certain</w:t>
      </w:r>
      <w:r w:rsidR="0016655D">
        <w:rPr>
          <w:rFonts w:ascii="Times New Roman" w:hAnsi="Times New Roman"/>
          <w:color w:val="000000"/>
          <w:sz w:val="20"/>
          <w:szCs w:val="20"/>
        </w:rPr>
        <w:t>”</w:t>
      </w:r>
      <w:r>
        <w:rPr>
          <w:rFonts w:ascii="Times New Roman" w:hAnsi="Times New Roman"/>
          <w:color w:val="000000"/>
          <w:sz w:val="20"/>
          <w:szCs w:val="20"/>
        </w:rPr>
        <w:t xml:space="preserve"> to follow. This is an u</w:t>
      </w:r>
      <w:r>
        <w:rPr>
          <w:rFonts w:ascii="Times New Roman" w:hAnsi="Times New Roman"/>
          <w:color w:val="000000"/>
          <w:sz w:val="20"/>
          <w:szCs w:val="20"/>
        </w:rPr>
        <w:t>n</w:t>
      </w:r>
      <w:r>
        <w:rPr>
          <w:rFonts w:ascii="Times New Roman" w:hAnsi="Times New Roman"/>
          <w:color w:val="000000"/>
          <w:sz w:val="20"/>
          <w:szCs w:val="20"/>
        </w:rPr>
        <w:t xml:space="preserve">reasonable conclusion and is a misapplication of the rule in </w:t>
      </w:r>
      <w:r w:rsidRPr="0016655D">
        <w:rPr>
          <w:rFonts w:ascii="Times New Roman" w:hAnsi="Times New Roman"/>
          <w:i/>
          <w:color w:val="000000"/>
          <w:sz w:val="20"/>
          <w:szCs w:val="20"/>
        </w:rPr>
        <w:t>McDonald</w:t>
      </w:r>
      <w:r>
        <w:rPr>
          <w:rFonts w:ascii="Times New Roman" w:hAnsi="Times New Roman"/>
          <w:color w:val="000000"/>
          <w:sz w:val="20"/>
          <w:szCs w:val="20"/>
        </w:rPr>
        <w:t>. This does not mean that he does not become liable for such unanticipated results, however. The settled law is that a defendant becomes liable for reasonably foreseeable consequences, though the exact results and damages were not co</w:t>
      </w:r>
      <w:r>
        <w:rPr>
          <w:rFonts w:ascii="Times New Roman" w:hAnsi="Times New Roman"/>
          <w:color w:val="000000"/>
          <w:sz w:val="20"/>
          <w:szCs w:val="20"/>
        </w:rPr>
        <w:t>n</w:t>
      </w:r>
      <w:r>
        <w:rPr>
          <w:rFonts w:ascii="Times New Roman" w:hAnsi="Times New Roman"/>
          <w:color w:val="000000"/>
          <w:sz w:val="20"/>
          <w:szCs w:val="20"/>
        </w:rPr>
        <w:t>templated.</w:t>
      </w:r>
      <w:bookmarkStart w:id="2" w:name="Document1zzF00441972134164"/>
      <w:bookmarkEnd w:id="2"/>
      <w:r w:rsidR="00E54FE0">
        <w:rPr>
          <w:rFonts w:ascii="Times New Roman" w:hAnsi="Times New Roman"/>
          <w:color w:val="000000"/>
          <w:sz w:val="24"/>
          <w:szCs w:val="24"/>
        </w:rPr>
        <w:t xml:space="preserve"> </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Acts that might be considered prudent in one case might be negligent in another. Negligence is a relative term and its existence must depend in each case upon the particular circumstances which su</w:t>
      </w:r>
      <w:r>
        <w:rPr>
          <w:rFonts w:ascii="Times New Roman" w:hAnsi="Times New Roman"/>
          <w:color w:val="000000"/>
          <w:sz w:val="20"/>
          <w:szCs w:val="20"/>
        </w:rPr>
        <w:t>r</w:t>
      </w:r>
      <w:r>
        <w:rPr>
          <w:rFonts w:ascii="Times New Roman" w:hAnsi="Times New Roman"/>
          <w:color w:val="000000"/>
          <w:sz w:val="20"/>
          <w:szCs w:val="20"/>
        </w:rPr>
        <w:t>rounded the parties at the time and place of the events upon which the controversy is based.</w:t>
      </w:r>
      <w:bookmarkStart w:id="3" w:name="Document1zzF00551972134164"/>
      <w:bookmarkEnd w:id="3"/>
      <w:r w:rsidR="00E54FE0">
        <w:rPr>
          <w:rFonts w:ascii="Times New Roman" w:hAnsi="Times New Roman"/>
          <w:color w:val="000000"/>
          <w:sz w:val="24"/>
          <w:szCs w:val="24"/>
        </w:rPr>
        <w:t xml:space="preserve"> </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trial judge committed error when he granted summary final judgment in favor of the defendant. The cause should have been submitted to the jury with appropriate instructions regarding the elements of negligence. Accordingly, certiorari is granted; the decision of the district court is hereby quashed and the cause is remanded with directions to reverse the summary final judgment.</w:t>
      </w:r>
    </w:p>
    <w:p w:rsidR="00BE7AB0" w:rsidRDefault="00BE7AB0">
      <w:pPr>
        <w:widowControl w:val="0"/>
        <w:autoSpaceDE w:val="0"/>
        <w:autoSpaceDN w:val="0"/>
        <w:adjustRightInd w:val="0"/>
        <w:spacing w:after="0" w:line="240" w:lineRule="auto"/>
        <w:rPr>
          <w:rFonts w:ascii="Times New Roman" w:hAnsi="Times New Roman"/>
          <w:color w:val="000000"/>
          <w:sz w:val="24"/>
          <w:szCs w:val="24"/>
        </w:rPr>
      </w:pPr>
    </w:p>
    <w:p w:rsidR="00BE7AB0" w:rsidRDefault="003B44B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It is so ordered.</w:t>
      </w:r>
    </w:p>
    <w:p w:rsidR="003B44BF" w:rsidRDefault="003B44BF">
      <w:pPr>
        <w:widowControl w:val="0"/>
        <w:autoSpaceDE w:val="0"/>
        <w:autoSpaceDN w:val="0"/>
        <w:adjustRightInd w:val="0"/>
        <w:spacing w:after="0" w:line="240" w:lineRule="auto"/>
        <w:rPr>
          <w:rFonts w:ascii="Times New Roman" w:hAnsi="Times New Roman"/>
          <w:sz w:val="24"/>
          <w:szCs w:val="24"/>
        </w:rPr>
      </w:pPr>
    </w:p>
    <w:sectPr w:rsidR="003B44BF" w:rsidSect="003162C3">
      <w:headerReference w:type="default" r:id="rId8"/>
      <w:footerReference w:type="default" r:id="rId9"/>
      <w:type w:val="continuous"/>
      <w:pgSz w:w="12240" w:h="15840"/>
      <w:pgMar w:top="2016" w:right="1440" w:bottom="180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7A" w:rsidRDefault="00241B7A">
      <w:pPr>
        <w:spacing w:after="0" w:line="240" w:lineRule="auto"/>
      </w:pPr>
      <w:r>
        <w:separator/>
      </w:r>
    </w:p>
  </w:endnote>
  <w:endnote w:type="continuationSeparator" w:id="0">
    <w:p w:rsidR="00241B7A" w:rsidRDefault="00241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B0" w:rsidRDefault="003B44B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B0" w:rsidRDefault="003B44B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7A" w:rsidRDefault="00241B7A">
      <w:pPr>
        <w:spacing w:after="0" w:line="240" w:lineRule="auto"/>
      </w:pPr>
      <w:r>
        <w:separator/>
      </w:r>
    </w:p>
  </w:footnote>
  <w:footnote w:type="continuationSeparator" w:id="0">
    <w:p w:rsidR="00241B7A" w:rsidRDefault="00241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3600"/>
      <w:gridCol w:w="2880"/>
    </w:tblGrid>
    <w:tr w:rsidR="00BE7AB0" w:rsidRPr="003B44BF">
      <w:tc>
        <w:tcPr>
          <w:tcW w:w="6480" w:type="dxa"/>
          <w:gridSpan w:val="2"/>
          <w:tcBorders>
            <w:top w:val="nil"/>
            <w:left w:val="nil"/>
            <w:bottom w:val="nil"/>
            <w:right w:val="nil"/>
          </w:tcBorders>
          <w:tcMar>
            <w:top w:w="0" w:type="dxa"/>
            <w:left w:w="0" w:type="dxa"/>
            <w:bottom w:w="0" w:type="dxa"/>
            <w:right w:w="0" w:type="dxa"/>
          </w:tcMar>
        </w:tcPr>
        <w:p w:rsidR="00BE7AB0" w:rsidRPr="003B44BF" w:rsidRDefault="00133346">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noProof/>
              <w:color w:val="000000"/>
              <w:sz w:val="20"/>
              <w:szCs w:val="20"/>
            </w:rPr>
            <w:drawing>
              <wp:inline distT="0" distB="0" distL="0" distR="0">
                <wp:extent cx="690880" cy="340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0880" cy="34036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BE7AB0" w:rsidRPr="003B44BF" w:rsidRDefault="00BE7AB0">
          <w:pPr>
            <w:widowControl w:val="0"/>
            <w:autoSpaceDE w:val="0"/>
            <w:autoSpaceDN w:val="0"/>
            <w:adjustRightInd w:val="0"/>
            <w:spacing w:after="0" w:line="240" w:lineRule="auto"/>
            <w:rPr>
              <w:rFonts w:ascii="Arial" w:hAnsi="Arial" w:cs="Arial"/>
              <w:color w:val="000000"/>
              <w:sz w:val="24"/>
              <w:szCs w:val="24"/>
            </w:rPr>
          </w:pPr>
        </w:p>
      </w:tc>
    </w:tr>
    <w:tr w:rsidR="00BE7AB0" w:rsidRPr="003B44BF">
      <w:tc>
        <w:tcPr>
          <w:tcW w:w="288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color w:val="000000"/>
              <w:sz w:val="20"/>
              <w:szCs w:val="20"/>
            </w:rPr>
            <w:t> </w:t>
          </w:r>
        </w:p>
        <w:p w:rsidR="00BE7AB0" w:rsidRPr="003B44BF" w:rsidRDefault="00BE7AB0">
          <w:pPr>
            <w:widowControl w:val="0"/>
            <w:autoSpaceDE w:val="0"/>
            <w:autoSpaceDN w:val="0"/>
            <w:adjustRightInd w:val="0"/>
            <w:spacing w:after="0" w:line="240" w:lineRule="auto"/>
            <w:rPr>
              <w:rFonts w:ascii="Arial" w:hAnsi="Arial" w:cs="Arial"/>
              <w:color w:val="000000"/>
              <w:sz w:val="24"/>
              <w:szCs w:val="24"/>
            </w:rPr>
          </w:pPr>
        </w:p>
      </w:tc>
      <w:tc>
        <w:tcPr>
          <w:tcW w:w="360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jc w:val="center"/>
            <w:rPr>
              <w:rFonts w:ascii="Arial" w:hAnsi="Arial" w:cs="Arial"/>
              <w:color w:val="000000"/>
              <w:sz w:val="24"/>
              <w:szCs w:val="24"/>
            </w:rPr>
          </w:pPr>
          <w:r w:rsidRPr="003B44BF">
            <w:rPr>
              <w:rFonts w:ascii="Times New Roman" w:hAnsi="Times New Roman"/>
              <w:color w:val="000000"/>
              <w:sz w:val="20"/>
              <w:szCs w:val="20"/>
            </w:rPr>
            <w:t>FOR EDUCATIONAL USE ONLY</w:t>
          </w:r>
        </w:p>
      </w:tc>
      <w:tc>
        <w:tcPr>
          <w:tcW w:w="288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jc w:val="right"/>
            <w:rPr>
              <w:rFonts w:ascii="Arial" w:hAnsi="Arial" w:cs="Arial"/>
              <w:color w:val="000000"/>
              <w:sz w:val="24"/>
              <w:szCs w:val="24"/>
            </w:rPr>
          </w:pPr>
          <w:r w:rsidRPr="003B44BF">
            <w:rPr>
              <w:rFonts w:ascii="Times New Roman" w:hAnsi="Times New Roman"/>
              <w:color w:val="000000"/>
              <w:sz w:val="20"/>
              <w:szCs w:val="20"/>
            </w:rPr>
            <w:t xml:space="preserve">Page </w:t>
          </w:r>
          <w:r w:rsidRPr="003B44BF">
            <w:rPr>
              <w:rFonts w:ascii="Times New Roman" w:hAnsi="Times New Roman"/>
              <w:color w:val="000000"/>
              <w:sz w:val="20"/>
              <w:szCs w:val="20"/>
            </w:rPr>
            <w:pgNum/>
          </w:r>
        </w:p>
      </w:tc>
    </w:tr>
    <w:tr w:rsidR="00BE7AB0" w:rsidRPr="003B44BF">
      <w:tc>
        <w:tcPr>
          <w:tcW w:w="9360" w:type="dxa"/>
          <w:gridSpan w:val="3"/>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color w:val="000000"/>
              <w:sz w:val="20"/>
              <w:szCs w:val="20"/>
            </w:rPr>
            <w:t>258 So.2d 815</w:t>
          </w:r>
        </w:p>
      </w:tc>
    </w:tr>
    <w:tr w:rsidR="00BE7AB0" w:rsidRPr="003B44BF">
      <w:tc>
        <w:tcPr>
          <w:tcW w:w="9360" w:type="dxa"/>
          <w:gridSpan w:val="3"/>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b/>
              <w:bCs/>
              <w:color w:val="000000"/>
              <w:sz w:val="20"/>
              <w:szCs w:val="20"/>
            </w:rPr>
            <w:t>(Cite as: 258 So.2d 815)</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3600"/>
      <w:gridCol w:w="2880"/>
    </w:tblGrid>
    <w:tr w:rsidR="00BE7AB0" w:rsidRPr="003B44BF">
      <w:tc>
        <w:tcPr>
          <w:tcW w:w="288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color w:val="000000"/>
              <w:sz w:val="20"/>
              <w:szCs w:val="20"/>
            </w:rPr>
            <w:t> </w:t>
          </w:r>
        </w:p>
        <w:p w:rsidR="00BE7AB0" w:rsidRPr="003B44BF" w:rsidRDefault="00BE7AB0">
          <w:pPr>
            <w:widowControl w:val="0"/>
            <w:autoSpaceDE w:val="0"/>
            <w:autoSpaceDN w:val="0"/>
            <w:adjustRightInd w:val="0"/>
            <w:spacing w:after="0" w:line="240" w:lineRule="auto"/>
            <w:rPr>
              <w:rFonts w:ascii="Arial" w:hAnsi="Arial" w:cs="Arial"/>
              <w:color w:val="000000"/>
              <w:sz w:val="24"/>
              <w:szCs w:val="24"/>
            </w:rPr>
          </w:pPr>
        </w:p>
      </w:tc>
      <w:tc>
        <w:tcPr>
          <w:tcW w:w="360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jc w:val="center"/>
            <w:rPr>
              <w:rFonts w:ascii="Arial" w:hAnsi="Arial" w:cs="Arial"/>
              <w:color w:val="000000"/>
              <w:sz w:val="24"/>
              <w:szCs w:val="24"/>
            </w:rPr>
          </w:pPr>
          <w:r w:rsidRPr="003B44BF">
            <w:rPr>
              <w:rFonts w:ascii="Times New Roman" w:hAnsi="Times New Roman"/>
              <w:color w:val="000000"/>
              <w:sz w:val="20"/>
              <w:szCs w:val="20"/>
            </w:rPr>
            <w:t>FOR EDUCATIONAL USE ONLY</w:t>
          </w:r>
        </w:p>
      </w:tc>
      <w:tc>
        <w:tcPr>
          <w:tcW w:w="2880" w:type="dxa"/>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jc w:val="right"/>
            <w:rPr>
              <w:rFonts w:ascii="Arial" w:hAnsi="Arial" w:cs="Arial"/>
              <w:color w:val="000000"/>
              <w:sz w:val="24"/>
              <w:szCs w:val="24"/>
            </w:rPr>
          </w:pPr>
          <w:r w:rsidRPr="003B44BF">
            <w:rPr>
              <w:rFonts w:ascii="Times New Roman" w:hAnsi="Times New Roman"/>
              <w:color w:val="000000"/>
              <w:sz w:val="20"/>
              <w:szCs w:val="20"/>
            </w:rPr>
            <w:t xml:space="preserve">Page </w:t>
          </w:r>
          <w:r w:rsidRPr="003B44BF">
            <w:rPr>
              <w:rFonts w:ascii="Times New Roman" w:hAnsi="Times New Roman"/>
              <w:color w:val="000000"/>
              <w:sz w:val="20"/>
              <w:szCs w:val="20"/>
            </w:rPr>
            <w:pgNum/>
          </w:r>
        </w:p>
      </w:tc>
    </w:tr>
    <w:tr w:rsidR="00BE7AB0" w:rsidRPr="003B44BF">
      <w:tc>
        <w:tcPr>
          <w:tcW w:w="9360" w:type="dxa"/>
          <w:gridSpan w:val="3"/>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color w:val="000000"/>
              <w:sz w:val="20"/>
              <w:szCs w:val="20"/>
            </w:rPr>
            <w:t>258 So.2d 815</w:t>
          </w:r>
        </w:p>
      </w:tc>
    </w:tr>
    <w:tr w:rsidR="00BE7AB0" w:rsidRPr="003B44BF">
      <w:tc>
        <w:tcPr>
          <w:tcW w:w="9360" w:type="dxa"/>
          <w:gridSpan w:val="3"/>
          <w:tcBorders>
            <w:top w:val="nil"/>
            <w:left w:val="nil"/>
            <w:bottom w:val="nil"/>
            <w:right w:val="nil"/>
          </w:tcBorders>
          <w:tcMar>
            <w:top w:w="0" w:type="dxa"/>
            <w:left w:w="0" w:type="dxa"/>
            <w:bottom w:w="0" w:type="dxa"/>
            <w:right w:w="0" w:type="dxa"/>
          </w:tcMar>
        </w:tcPr>
        <w:p w:rsidR="00BE7AB0" w:rsidRPr="003B44BF" w:rsidRDefault="003B44BF">
          <w:pPr>
            <w:widowControl w:val="0"/>
            <w:autoSpaceDE w:val="0"/>
            <w:autoSpaceDN w:val="0"/>
            <w:adjustRightInd w:val="0"/>
            <w:spacing w:after="0" w:line="240" w:lineRule="auto"/>
            <w:rPr>
              <w:rFonts w:ascii="Arial" w:hAnsi="Arial" w:cs="Arial"/>
              <w:color w:val="000000"/>
              <w:sz w:val="24"/>
              <w:szCs w:val="24"/>
            </w:rPr>
          </w:pPr>
          <w:r w:rsidRPr="003B44BF">
            <w:rPr>
              <w:rFonts w:ascii="Times New Roman" w:hAnsi="Times New Roman"/>
              <w:b/>
              <w:bCs/>
              <w:color w:val="000000"/>
              <w:sz w:val="20"/>
              <w:szCs w:val="20"/>
            </w:rPr>
            <w:t>(Cite as: 258 So.2d 815)</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compat>
  <w:rsids>
    <w:rsidRoot w:val="00E54FE0"/>
    <w:rsid w:val="00133346"/>
    <w:rsid w:val="0016655D"/>
    <w:rsid w:val="00241B7A"/>
    <w:rsid w:val="003162C3"/>
    <w:rsid w:val="003B44BF"/>
    <w:rsid w:val="00BE7AB0"/>
    <w:rsid w:val="00C96CCF"/>
    <w:rsid w:val="00E54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12.6.1.3.V2</dc:creator>
  <cp:lastModifiedBy>Bieber, Harold</cp:lastModifiedBy>
  <cp:revision>2</cp:revision>
  <dcterms:created xsi:type="dcterms:W3CDTF">2012-08-02T17:27:00Z</dcterms:created>
  <dcterms:modified xsi:type="dcterms:W3CDTF">2012-08-02T17:27:00Z</dcterms:modified>
</cp:coreProperties>
</file>